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AA48" w14:textId="4300DD1A" w:rsidR="009B4989" w:rsidRDefault="005D05C5" w:rsidP="00D803C8">
      <w:pPr>
        <w:widowControl w:val="0"/>
        <w:autoSpaceDE w:val="0"/>
        <w:autoSpaceDN w:val="0"/>
        <w:adjustRightInd w:val="0"/>
        <w:spacing w:after="400" w:line="240" w:lineRule="auto"/>
        <w:jc w:val="center"/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</w:pPr>
      <w:r>
        <w:rPr>
          <w:rFonts w:ascii="Comic Sans MS" w:eastAsiaTheme="minorEastAsia" w:hAnsi="Comic Sans MS" w:cs="Comic Sans MS"/>
          <w:b/>
          <w:bCs/>
          <w:noProof/>
          <w:spacing w:val="40"/>
          <w:kern w:val="1"/>
          <w:sz w:val="60"/>
          <w:szCs w:val="60"/>
          <w:lang w:val="en-US"/>
        </w:rPr>
        <w:drawing>
          <wp:inline distT="0" distB="0" distL="0" distR="0" wp14:anchorId="09A55D0C" wp14:editId="22E50D56">
            <wp:extent cx="5729401" cy="1146175"/>
            <wp:effectExtent l="0" t="0" r="114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3C8"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 xml:space="preserve"> </w:t>
      </w:r>
      <w:r w:rsidR="00410F61"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>Two</w:t>
      </w:r>
      <w:r w:rsidR="00592F57"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 xml:space="preserve"> Day</w:t>
      </w:r>
      <w:r w:rsidR="00674FE4"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 xml:space="preserve"> Beginners’ Course</w:t>
      </w:r>
      <w:r w:rsidR="00592F57"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 xml:space="preserve"> </w:t>
      </w:r>
    </w:p>
    <w:p w14:paraId="50778FC1" w14:textId="514A6C16" w:rsidR="009B4989" w:rsidRDefault="00592F57" w:rsidP="009B4989">
      <w:pPr>
        <w:widowControl w:val="0"/>
        <w:autoSpaceDE w:val="0"/>
        <w:autoSpaceDN w:val="0"/>
        <w:adjustRightInd w:val="0"/>
        <w:spacing w:after="400" w:line="240" w:lineRule="auto"/>
        <w:jc w:val="center"/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</w:pPr>
      <w:r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>Makaton Signing Training</w:t>
      </w:r>
      <w:r w:rsidR="009B4989">
        <w:rPr>
          <w:rFonts w:ascii="Tahoma" w:eastAsiaTheme="minorEastAsia" w:hAnsi="Tahoma" w:cs="Tahoma"/>
          <w:bCs/>
          <w:color w:val="3366FF"/>
          <w:spacing w:val="40"/>
          <w:kern w:val="1"/>
          <w:sz w:val="52"/>
          <w:szCs w:val="52"/>
          <w:lang w:val="en-US"/>
        </w:rPr>
        <w:t xml:space="preserve"> </w:t>
      </w:r>
    </w:p>
    <w:p w14:paraId="17BD3A27" w14:textId="44DE31AE" w:rsidR="003D1ABD" w:rsidRPr="002F7B03" w:rsidRDefault="009B4989" w:rsidP="003D1ABD">
      <w:pPr>
        <w:tabs>
          <w:tab w:val="left" w:pos="5415"/>
        </w:tabs>
        <w:rPr>
          <w:rFonts w:ascii="Tahoma" w:hAnsi="Tahoma" w:cs="Tahoma"/>
          <w:b/>
          <w:sz w:val="24"/>
          <w:szCs w:val="24"/>
        </w:rPr>
      </w:pPr>
      <w:r w:rsidRPr="002F7B03">
        <w:rPr>
          <w:rFonts w:ascii="Tahoma" w:hAnsi="Tahoma" w:cs="Tahoma"/>
          <w:b/>
          <w:sz w:val="24"/>
          <w:szCs w:val="24"/>
          <w:u w:val="single"/>
        </w:rPr>
        <w:t>For Parents / C</w:t>
      </w:r>
      <w:r w:rsidR="003D1ABD" w:rsidRPr="002F7B03">
        <w:rPr>
          <w:rFonts w:ascii="Tahoma" w:hAnsi="Tahoma" w:cs="Tahoma"/>
          <w:b/>
          <w:sz w:val="24"/>
          <w:szCs w:val="24"/>
          <w:u w:val="single"/>
        </w:rPr>
        <w:t>arers/</w:t>
      </w:r>
      <w:r w:rsidRPr="002F7B03">
        <w:rPr>
          <w:rFonts w:ascii="Tahoma" w:hAnsi="Tahoma" w:cs="Tahoma"/>
          <w:b/>
          <w:sz w:val="24"/>
          <w:szCs w:val="24"/>
          <w:u w:val="single"/>
        </w:rPr>
        <w:t xml:space="preserve"> S</w:t>
      </w:r>
      <w:r w:rsidR="003D1ABD" w:rsidRPr="002F7B03">
        <w:rPr>
          <w:rFonts w:ascii="Tahoma" w:hAnsi="Tahoma" w:cs="Tahoma"/>
          <w:b/>
          <w:sz w:val="24"/>
          <w:szCs w:val="24"/>
          <w:u w:val="single"/>
        </w:rPr>
        <w:t xml:space="preserve">chool </w:t>
      </w:r>
      <w:r w:rsidRPr="002F7B03">
        <w:rPr>
          <w:rFonts w:ascii="Tahoma" w:hAnsi="Tahoma" w:cs="Tahoma"/>
          <w:b/>
          <w:sz w:val="24"/>
          <w:szCs w:val="24"/>
          <w:u w:val="single"/>
        </w:rPr>
        <w:t>S</w:t>
      </w:r>
      <w:r w:rsidR="003D1ABD" w:rsidRPr="002F7B03">
        <w:rPr>
          <w:rFonts w:ascii="Tahoma" w:hAnsi="Tahoma" w:cs="Tahoma"/>
          <w:b/>
          <w:sz w:val="24"/>
          <w:szCs w:val="24"/>
          <w:u w:val="single"/>
        </w:rPr>
        <w:t>taff</w:t>
      </w:r>
    </w:p>
    <w:p w14:paraId="5038E57B" w14:textId="100CD0DF" w:rsidR="003D1ABD" w:rsidRPr="002F7B03" w:rsidRDefault="003D1ABD" w:rsidP="003D1ABD">
      <w:pPr>
        <w:tabs>
          <w:tab w:val="left" w:pos="5415"/>
        </w:tabs>
        <w:rPr>
          <w:rFonts w:ascii="Tahoma" w:hAnsi="Tahoma" w:cs="Tahoma"/>
          <w:sz w:val="24"/>
          <w:szCs w:val="24"/>
        </w:rPr>
      </w:pPr>
      <w:r w:rsidRPr="002F7B03">
        <w:rPr>
          <w:rFonts w:ascii="Tahoma" w:hAnsi="Tahoma" w:cs="Tahoma"/>
          <w:sz w:val="24"/>
          <w:szCs w:val="24"/>
        </w:rPr>
        <w:t>This Beginners’ Workshop provides a practical introduction to the Makaton Language Programme.</w:t>
      </w:r>
    </w:p>
    <w:p w14:paraId="7554DF8B" w14:textId="6CFC3FA1" w:rsidR="003D1ABD" w:rsidRPr="002F7B03" w:rsidRDefault="003D1ABD" w:rsidP="003D1ABD">
      <w:pPr>
        <w:tabs>
          <w:tab w:val="left" w:pos="5415"/>
        </w:tabs>
        <w:rPr>
          <w:rFonts w:ascii="Tahoma" w:hAnsi="Tahoma" w:cs="Tahoma"/>
          <w:sz w:val="24"/>
          <w:szCs w:val="24"/>
        </w:rPr>
      </w:pPr>
      <w:r w:rsidRPr="002F7B03">
        <w:rPr>
          <w:rFonts w:ascii="Tahoma" w:hAnsi="Tahoma" w:cs="Tahoma"/>
          <w:sz w:val="24"/>
          <w:szCs w:val="24"/>
        </w:rPr>
        <w:t>Sessions include</w:t>
      </w:r>
      <w:r w:rsidR="009B4989" w:rsidRPr="002F7B03">
        <w:rPr>
          <w:rFonts w:ascii="Tahoma" w:hAnsi="Tahoma" w:cs="Tahoma"/>
          <w:sz w:val="24"/>
          <w:szCs w:val="24"/>
        </w:rPr>
        <w:t>:</w:t>
      </w:r>
      <w:r w:rsidRPr="002F7B03">
        <w:rPr>
          <w:rFonts w:ascii="Tahoma" w:hAnsi="Tahoma" w:cs="Tahoma"/>
          <w:sz w:val="24"/>
          <w:szCs w:val="24"/>
        </w:rPr>
        <w:t xml:space="preserve"> discussing commonly asked questions, hints and tips for effective signing and symbol use</w:t>
      </w:r>
      <w:r w:rsidR="009B4989" w:rsidRPr="002F7B03">
        <w:rPr>
          <w:rFonts w:ascii="Tahoma" w:hAnsi="Tahoma" w:cs="Tahoma"/>
          <w:sz w:val="24"/>
          <w:szCs w:val="24"/>
        </w:rPr>
        <w:t>,</w:t>
      </w:r>
      <w:r w:rsidRPr="002F7B03">
        <w:rPr>
          <w:rFonts w:ascii="Tahoma" w:hAnsi="Tahoma" w:cs="Tahoma"/>
          <w:sz w:val="24"/>
          <w:szCs w:val="24"/>
        </w:rPr>
        <w:t xml:space="preserve"> and how to start using Makaton in everyday situations at school or at home.</w:t>
      </w:r>
    </w:p>
    <w:p w14:paraId="38C5B439" w14:textId="394F0510" w:rsidR="00674FE4" w:rsidRPr="002F7B03" w:rsidRDefault="003D1ABD" w:rsidP="003D1ABD">
      <w:pPr>
        <w:tabs>
          <w:tab w:val="left" w:pos="5415"/>
        </w:tabs>
        <w:rPr>
          <w:rFonts w:ascii="Tahoma" w:hAnsi="Tahoma" w:cs="Tahoma"/>
          <w:sz w:val="24"/>
          <w:szCs w:val="24"/>
        </w:rPr>
      </w:pPr>
      <w:r w:rsidRPr="002F7B03">
        <w:rPr>
          <w:rFonts w:ascii="Tahoma" w:hAnsi="Tahoma" w:cs="Tahoma"/>
          <w:sz w:val="24"/>
          <w:szCs w:val="24"/>
        </w:rPr>
        <w:t xml:space="preserve">You will learn the signs and symbols from Stages 1-4 </w:t>
      </w:r>
      <w:r w:rsidR="00674FE4" w:rsidRPr="002F7B03">
        <w:rPr>
          <w:rFonts w:ascii="Tahoma" w:hAnsi="Tahoma" w:cs="Tahoma"/>
          <w:sz w:val="24"/>
          <w:szCs w:val="24"/>
        </w:rPr>
        <w:t>(</w:t>
      </w:r>
      <w:r w:rsidRPr="002F7B03">
        <w:rPr>
          <w:rFonts w:ascii="Tahoma" w:hAnsi="Tahoma" w:cs="Tahoma"/>
          <w:sz w:val="24"/>
          <w:szCs w:val="24"/>
        </w:rPr>
        <w:t>and Additional</w:t>
      </w:r>
      <w:r w:rsidR="00674FE4" w:rsidRPr="002F7B03">
        <w:rPr>
          <w:rFonts w:ascii="Tahoma" w:hAnsi="Tahoma" w:cs="Tahoma"/>
          <w:sz w:val="24"/>
          <w:szCs w:val="24"/>
        </w:rPr>
        <w:t>)</w:t>
      </w:r>
      <w:r w:rsidRPr="002F7B03">
        <w:rPr>
          <w:rFonts w:ascii="Tahoma" w:hAnsi="Tahoma" w:cs="Tahoma"/>
          <w:sz w:val="24"/>
          <w:szCs w:val="24"/>
        </w:rPr>
        <w:t xml:space="preserve"> of the Core Vocabulary.  All signs and symbols learned on the course are included in your manual</w:t>
      </w:r>
      <w:r w:rsidR="00674FE4" w:rsidRPr="002F7B03">
        <w:rPr>
          <w:rFonts w:ascii="Tahoma" w:hAnsi="Tahoma" w:cs="Tahoma"/>
          <w:sz w:val="24"/>
          <w:szCs w:val="24"/>
        </w:rPr>
        <w:t xml:space="preserve"> which can be purchased through us and</w:t>
      </w:r>
      <w:r w:rsidRPr="002F7B03">
        <w:rPr>
          <w:rFonts w:ascii="Tahoma" w:hAnsi="Tahoma" w:cs="Tahoma"/>
          <w:sz w:val="24"/>
          <w:szCs w:val="24"/>
        </w:rPr>
        <w:t xml:space="preserve"> received on </w:t>
      </w:r>
      <w:r w:rsidR="00674FE4" w:rsidRPr="002F7B03">
        <w:rPr>
          <w:rFonts w:ascii="Tahoma" w:hAnsi="Tahoma" w:cs="Tahoma"/>
          <w:sz w:val="24"/>
          <w:szCs w:val="24"/>
        </w:rPr>
        <w:t>the day</w:t>
      </w:r>
      <w:r w:rsidRPr="002F7B03">
        <w:rPr>
          <w:rFonts w:ascii="Tahoma" w:hAnsi="Tahoma" w:cs="Tahoma"/>
          <w:sz w:val="24"/>
          <w:szCs w:val="24"/>
        </w:rPr>
        <w:t xml:space="preserve">. You will also </w:t>
      </w:r>
      <w:r w:rsidR="00674FE4" w:rsidRPr="002F7B03">
        <w:rPr>
          <w:rFonts w:ascii="Tahoma" w:hAnsi="Tahoma" w:cs="Tahoma"/>
          <w:sz w:val="24"/>
          <w:szCs w:val="24"/>
        </w:rPr>
        <w:t>receive</w:t>
      </w:r>
      <w:r w:rsidRPr="002F7B03">
        <w:rPr>
          <w:rFonts w:ascii="Tahoma" w:hAnsi="Tahoma" w:cs="Tahoma"/>
          <w:sz w:val="24"/>
          <w:szCs w:val="24"/>
        </w:rPr>
        <w:t xml:space="preserve"> a certificate of attendance.</w:t>
      </w:r>
    </w:p>
    <w:p w14:paraId="0373AACA" w14:textId="75D4D161" w:rsidR="003C738B" w:rsidRPr="00674FE4" w:rsidRDefault="003C738B" w:rsidP="00674FE4">
      <w:pPr>
        <w:ind w:left="2160" w:hanging="2160"/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 xml:space="preserve">Trainer: </w:t>
      </w: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Michelle </w:t>
      </w:r>
      <w:proofErr w:type="spellStart"/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Staniforth</w:t>
      </w:r>
      <w:proofErr w:type="spellEnd"/>
      <w:r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, Specialist Speech and Langu</w:t>
      </w:r>
      <w:r w:rsidR="007055FE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age</w:t>
      </w:r>
      <w:r w:rsidR="00674FE4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Therapist, 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The Owl Centre</w:t>
      </w:r>
      <w:r w:rsidR="006A542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.</w:t>
      </w:r>
    </w:p>
    <w:p w14:paraId="4A8A9FFE" w14:textId="386DEDB6" w:rsidR="003C738B" w:rsidRPr="003D1ABD" w:rsidRDefault="003D1ABD" w:rsidP="003D1ABD">
      <w:pPr>
        <w:ind w:left="2160" w:hanging="2160"/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>Venue:</w:t>
      </w: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bookmarkStart w:id="0" w:name="_GoBack"/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Oxford Association for the Blind, </w:t>
      </w:r>
      <w:r w:rsidRPr="003D1ABD">
        <w:rPr>
          <w:rFonts w:ascii="Arial" w:eastAsiaTheme="minorEastAsia" w:hAnsi="Arial" w:cs="Arial"/>
          <w:color w:val="1A1A1A"/>
          <w:sz w:val="28"/>
          <w:szCs w:val="28"/>
        </w:rPr>
        <w:t>Bradbury Lodge, Gordon Woodward Way, Oxford OX1 4XL</w:t>
      </w:r>
    </w:p>
    <w:p w14:paraId="08751B02" w14:textId="0356EB1F" w:rsidR="003C738B" w:rsidRPr="003D1ABD" w:rsidRDefault="007055FE" w:rsidP="003C738B">
      <w:pP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>Date</w:t>
      </w:r>
      <w:r w:rsidR="009C0408"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>s:</w:t>
      </w:r>
      <w:r w:rsidR="009C0408"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r w:rsidR="009C0408"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1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vertAlign w:val="superscript"/>
          <w:lang w:val="en-US"/>
        </w:rPr>
        <w:t>st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and 2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vertAlign w:val="superscript"/>
          <w:lang w:val="en-US"/>
        </w:rPr>
        <w:t>nd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December 2016</w:t>
      </w:r>
    </w:p>
    <w:p w14:paraId="16C93DAA" w14:textId="00717120" w:rsidR="009C0408" w:rsidRPr="003D1ABD" w:rsidRDefault="009C0408" w:rsidP="003C738B">
      <w:pPr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</w:pP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 xml:space="preserve">Time: </w:t>
      </w: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r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9.30</w:t>
      </w:r>
      <w:r w:rsidR="00674FE4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am</w:t>
      </w:r>
      <w:r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to 3.30pm</w:t>
      </w:r>
    </w:p>
    <w:p w14:paraId="6C453356" w14:textId="2B07A705" w:rsidR="003D1ABD" w:rsidRDefault="003C738B" w:rsidP="009C0408">
      <w:pPr>
        <w:ind w:left="2160" w:hanging="2160"/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 xml:space="preserve">Cost: </w:t>
      </w:r>
      <w:r w:rsidRPr="003D1ABD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ab/>
      </w:r>
      <w:r w:rsidR="00B1224A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£15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0 </w:t>
      </w:r>
      <w:r w:rsidR="00674FE4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(</w:t>
      </w:r>
      <w:r w:rsidR="00B1224A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includes</w:t>
      </w:r>
      <w:r w:rsidR="00674FE4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</w:t>
      </w:r>
      <w:r w:rsidR="00B1224A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£30 for</w:t>
      </w:r>
      <w:r w:rsidR="009C0408" w:rsidRPr="003D1ABD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</w:t>
      </w:r>
      <w:r w:rsidR="00B1224A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set of</w:t>
      </w:r>
    </w:p>
    <w:p w14:paraId="19449FDC" w14:textId="67866CC5" w:rsidR="003C738B" w:rsidRDefault="00B1224A" w:rsidP="003D1ABD">
      <w:pPr>
        <w:ind w:left="2160"/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Makaton Manuals, </w:t>
      </w:r>
      <w:r w:rsidR="00B41525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necessary if</w:t>
      </w: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not owned</w:t>
      </w:r>
      <w:r w:rsidR="00674FE4"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>)</w:t>
      </w:r>
    </w:p>
    <w:p w14:paraId="75004F07" w14:textId="77777777" w:rsidR="002F7B03" w:rsidRDefault="002F7B03" w:rsidP="002F7B03">
      <w:pP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 xml:space="preserve">Deadline:   </w:t>
      </w: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</w:t>
      </w:r>
      <w:r w:rsidRPr="002F7B03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>Bookings by 10</w:t>
      </w:r>
      <w:r w:rsidRPr="002F7B03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vertAlign w:val="superscript"/>
          <w:lang w:val="en-US"/>
        </w:rPr>
        <w:t>th</w:t>
      </w:r>
      <w:r w:rsidRPr="002F7B03">
        <w:rPr>
          <w:rFonts w:ascii="Tahoma" w:eastAsiaTheme="minorEastAsia" w:hAnsi="Tahoma" w:cs="Tahoma"/>
          <w:b/>
          <w:bCs/>
          <w:spacing w:val="40"/>
          <w:kern w:val="1"/>
          <w:sz w:val="28"/>
          <w:szCs w:val="28"/>
          <w:lang w:val="en-US"/>
        </w:rPr>
        <w:t xml:space="preserve"> November</w:t>
      </w: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 xml:space="preserve"> to allow </w:t>
      </w:r>
    </w:p>
    <w:p w14:paraId="371294AA" w14:textId="0E51EC10" w:rsidR="002F7B03" w:rsidRPr="002F7B03" w:rsidRDefault="002F7B03" w:rsidP="002F7B03">
      <w:pP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</w:pP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ab/>
      </w: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ab/>
      </w:r>
      <w:r>
        <w:rPr>
          <w:rFonts w:ascii="Tahoma" w:eastAsiaTheme="minorEastAsia" w:hAnsi="Tahoma" w:cs="Tahoma"/>
          <w:bCs/>
          <w:spacing w:val="40"/>
          <w:kern w:val="1"/>
          <w:sz w:val="28"/>
          <w:szCs w:val="28"/>
          <w:lang w:val="en-US"/>
        </w:rPr>
        <w:tab/>
        <w:t>time to order manuals</w:t>
      </w:r>
    </w:p>
    <w:bookmarkEnd w:id="0"/>
    <w:p w14:paraId="76A09F08" w14:textId="63561F69" w:rsidR="00717B59" w:rsidRPr="005D42F7" w:rsidRDefault="004D580E" w:rsidP="00E83807">
      <w:pPr>
        <w:rPr>
          <w:rFonts w:ascii="Tahoma" w:eastAsiaTheme="minorEastAsia" w:hAnsi="Tahoma" w:cs="Tahoma"/>
          <w:b/>
          <w:color w:val="333333"/>
          <w:spacing w:val="40"/>
          <w:kern w:val="1"/>
          <w:sz w:val="32"/>
          <w:szCs w:val="32"/>
          <w:lang w:val="en-US"/>
        </w:rPr>
      </w:pPr>
      <w:r>
        <w:rPr>
          <w:rFonts w:ascii="Tahoma" w:eastAsiaTheme="minorEastAsia" w:hAnsi="Tahoma" w:cs="Tahoma"/>
          <w:b/>
          <w:noProof/>
          <w:color w:val="333333"/>
          <w:spacing w:val="40"/>
          <w:kern w:val="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D35B" wp14:editId="04E8E39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4686300" cy="1422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BDD1" w14:textId="6584817F" w:rsidR="003C738B" w:rsidRPr="003D1ABD" w:rsidRDefault="003C738B">
                            <w:pP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3D1AB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The Owl Centre </w:t>
                            </w:r>
                            <w:r w:rsidR="00674FE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in Oxfordshire </w:t>
                            </w:r>
                            <w:r w:rsidRPr="003D1AB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also offers </w:t>
                            </w:r>
                            <w:r w:rsidR="00684B58" w:rsidRPr="003D1AB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Speech and Language Therap</w:t>
                            </w:r>
                            <w:r w:rsidRPr="003D1AB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y, Occupational Therapy, Dyslexia Assessments and Support, Classroom advice for Autism by our SEN teacher,</w:t>
                            </w:r>
                            <w:r w:rsidR="00674FE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674FE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Dramatherapy</w:t>
                            </w:r>
                            <w:proofErr w:type="spellEnd"/>
                            <w:r w:rsidR="00674FE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,</w:t>
                            </w:r>
                            <w:r w:rsidRPr="003D1AB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Music Therapy</w:t>
                            </w:r>
                            <w:r w:rsidR="00674FE4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, and Dance &amp; Movement Therapy.</w:t>
                            </w:r>
                          </w:p>
                          <w:p w14:paraId="4231328E" w14:textId="0340E7E3" w:rsidR="003C738B" w:rsidRPr="000641C9" w:rsidRDefault="00984032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3C738B" w:rsidRPr="000641C9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www.theowltherapycentre.co.uk</w:t>
                              </w:r>
                            </w:hyperlink>
                          </w:p>
                          <w:p w14:paraId="5B0DC46B" w14:textId="77777777" w:rsidR="003C738B" w:rsidRPr="000641C9" w:rsidRDefault="003C738B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1FB360" w14:textId="77777777" w:rsidR="003C738B" w:rsidRDefault="003C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CD35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7pt;width:369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DEc0CAAAP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" filled="f" stroked="f">
                <v:textbox>
                  <w:txbxContent>
                    <w:p w14:paraId="49CEBDD1" w14:textId="6584817F" w:rsidR="003C738B" w:rsidRPr="003D1ABD" w:rsidRDefault="003C738B">
                      <w:pPr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3D1AB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The Owl Centre </w:t>
                      </w:r>
                      <w:r w:rsidR="00674FE4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in Oxfordshire </w:t>
                      </w:r>
                      <w:r w:rsidRPr="003D1AB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also offers </w:t>
                      </w:r>
                      <w:r w:rsidR="00684B58" w:rsidRPr="003D1ABD">
                        <w:rPr>
                          <w:rFonts w:ascii="Tahoma" w:hAnsi="Tahoma" w:cs="Tahoma"/>
                          <w:sz w:val="21"/>
                          <w:szCs w:val="21"/>
                        </w:rPr>
                        <w:t>Speech and Language Therap</w:t>
                      </w:r>
                      <w:r w:rsidRPr="003D1ABD">
                        <w:rPr>
                          <w:rFonts w:ascii="Tahoma" w:hAnsi="Tahoma" w:cs="Tahoma"/>
                          <w:sz w:val="21"/>
                          <w:szCs w:val="21"/>
                        </w:rPr>
                        <w:t>y, Occupational Therapy, Dyslexia Assessments and Support, Classroom advice for Autism by our SEN teacher,</w:t>
                      </w:r>
                      <w:r w:rsidR="00674FE4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Dramatherapy,</w:t>
                      </w:r>
                      <w:r w:rsidRPr="003D1AB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Music Therapy</w:t>
                      </w:r>
                      <w:r w:rsidR="00674FE4">
                        <w:rPr>
                          <w:rFonts w:ascii="Tahoma" w:hAnsi="Tahoma" w:cs="Tahoma"/>
                          <w:sz w:val="21"/>
                          <w:szCs w:val="21"/>
                        </w:rPr>
                        <w:t>, and Dance &amp; Movement Therapy.</w:t>
                      </w:r>
                      <w:bookmarkStart w:id="1" w:name="_GoBack"/>
                      <w:bookmarkEnd w:id="1"/>
                    </w:p>
                    <w:p w14:paraId="4231328E" w14:textId="0340E7E3" w:rsidR="003C738B" w:rsidRPr="000641C9" w:rsidRDefault="00674FE4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hyperlink r:id="rId8" w:history="1">
                        <w:r w:rsidR="003C738B" w:rsidRPr="000641C9">
                          <w:rPr>
                            <w:rStyle w:val="Hyperlink"/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www.theowltherapycentre.co.uk</w:t>
                        </w:r>
                      </w:hyperlink>
                    </w:p>
                    <w:p w14:paraId="5B0DC46B" w14:textId="77777777" w:rsidR="003C738B" w:rsidRPr="000641C9" w:rsidRDefault="003C738B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14:paraId="131FB360" w14:textId="77777777" w:rsidR="003C738B" w:rsidRDefault="003C738B"/>
                  </w:txbxContent>
                </v:textbox>
                <w10:wrap type="square"/>
              </v:shape>
            </w:pict>
          </mc:Fallback>
        </mc:AlternateContent>
      </w:r>
      <w:r w:rsidR="005D42F7">
        <w:rPr>
          <w:rFonts w:ascii="Tahoma" w:eastAsiaTheme="minorEastAsia" w:hAnsi="Tahoma" w:cs="Tahoma"/>
          <w:b/>
          <w:color w:val="333333"/>
          <w:spacing w:val="40"/>
          <w:kern w:val="1"/>
          <w:sz w:val="32"/>
          <w:szCs w:val="32"/>
          <w:lang w:val="en-US"/>
        </w:rPr>
        <w:t xml:space="preserve">  </w:t>
      </w:r>
      <w:r>
        <w:rPr>
          <w:rFonts w:ascii="Tahoma" w:eastAsiaTheme="minorEastAsia" w:hAnsi="Tahoma" w:cs="Tahoma"/>
          <w:b/>
          <w:color w:val="333333"/>
          <w:spacing w:val="40"/>
          <w:kern w:val="1"/>
          <w:sz w:val="32"/>
          <w:szCs w:val="32"/>
          <w:lang w:val="en-US"/>
        </w:rPr>
        <w:t xml:space="preserve">   </w:t>
      </w:r>
      <w:r>
        <w:rPr>
          <w:noProof/>
          <w:lang w:val="en-US"/>
        </w:rPr>
        <w:drawing>
          <wp:inline distT="0" distB="0" distL="0" distR="0" wp14:anchorId="3F6E4A84" wp14:editId="052D7B2E">
            <wp:extent cx="596900" cy="869315"/>
            <wp:effectExtent l="0" t="0" r="1270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2F7">
        <w:rPr>
          <w:rFonts w:ascii="Tahoma" w:eastAsiaTheme="minorEastAsia" w:hAnsi="Tahoma" w:cs="Tahoma"/>
          <w:b/>
          <w:color w:val="333333"/>
          <w:spacing w:val="40"/>
          <w:kern w:val="1"/>
          <w:sz w:val="32"/>
          <w:szCs w:val="32"/>
          <w:lang w:val="en-US"/>
        </w:rPr>
        <w:t xml:space="preserve">     </w:t>
      </w:r>
    </w:p>
    <w:sectPr w:rsidR="00717B59" w:rsidRPr="005D42F7" w:rsidSect="004D580E">
      <w:pgSz w:w="11906" w:h="16838"/>
      <w:pgMar w:top="709" w:right="1274" w:bottom="568" w:left="1440" w:header="708" w:footer="708" w:gutter="0"/>
      <w:pgBorders w:offsetFrom="page">
        <w:top w:val="single" w:sz="24" w:space="24" w:color="4F81BD"/>
        <w:left w:val="single" w:sz="24" w:space="24" w:color="4F81BD"/>
        <w:bottom w:val="single" w:sz="24" w:space="24" w:color="4F81BD"/>
        <w:right w:val="single" w:sz="24" w:space="24" w:color="4F81B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E1FBF"/>
    <w:multiLevelType w:val="hybridMultilevel"/>
    <w:tmpl w:val="522E27DC"/>
    <w:lvl w:ilvl="0" w:tplc="8794C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A45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3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04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C1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60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09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42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27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BFA77A3"/>
    <w:multiLevelType w:val="hybridMultilevel"/>
    <w:tmpl w:val="D6D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9C"/>
    <w:rsid w:val="0004551A"/>
    <w:rsid w:val="00046AAF"/>
    <w:rsid w:val="000641C9"/>
    <w:rsid w:val="000B605D"/>
    <w:rsid w:val="000C7C9C"/>
    <w:rsid w:val="0015102A"/>
    <w:rsid w:val="00264712"/>
    <w:rsid w:val="00274156"/>
    <w:rsid w:val="002F7B03"/>
    <w:rsid w:val="003C738B"/>
    <w:rsid w:val="003D1ABD"/>
    <w:rsid w:val="00410F61"/>
    <w:rsid w:val="004D580E"/>
    <w:rsid w:val="004D5C19"/>
    <w:rsid w:val="00592F57"/>
    <w:rsid w:val="005D05C5"/>
    <w:rsid w:val="005D42F7"/>
    <w:rsid w:val="00674FE4"/>
    <w:rsid w:val="00684B58"/>
    <w:rsid w:val="0069252B"/>
    <w:rsid w:val="006A5428"/>
    <w:rsid w:val="007055FE"/>
    <w:rsid w:val="00717B59"/>
    <w:rsid w:val="00984032"/>
    <w:rsid w:val="009B4989"/>
    <w:rsid w:val="009B730B"/>
    <w:rsid w:val="009C0408"/>
    <w:rsid w:val="00A25A59"/>
    <w:rsid w:val="00B1224A"/>
    <w:rsid w:val="00B41525"/>
    <w:rsid w:val="00D803C8"/>
    <w:rsid w:val="00DB7B1D"/>
    <w:rsid w:val="00E83807"/>
    <w:rsid w:val="00EC1342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11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9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9C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74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605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8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9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9C"/>
    <w:rPr>
      <w:rFonts w:ascii="Lucida Grande" w:eastAsia="Calibri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74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605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8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8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4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2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5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2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heowltherapycentre.co.uk" TargetMode="External"/><Relationship Id="rId8" Type="http://schemas.openxmlformats.org/officeDocument/2006/relationships/hyperlink" Target="http://www.theowltherapycentre.co.uk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Owl Centre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Lathey</dc:creator>
  <cp:keywords/>
  <dc:description/>
  <cp:lastModifiedBy>Sandra</cp:lastModifiedBy>
  <cp:revision>2</cp:revision>
  <dcterms:created xsi:type="dcterms:W3CDTF">2016-11-08T13:37:00Z</dcterms:created>
  <dcterms:modified xsi:type="dcterms:W3CDTF">2016-11-08T13:37:00Z</dcterms:modified>
</cp:coreProperties>
</file>